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F413" w14:textId="639061AB" w:rsidR="00D138D6" w:rsidRPr="005A1250" w:rsidRDefault="00466FEF" w:rsidP="0011542A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0" w:lineRule="auto"/>
        <w:ind w:left="426" w:right="3" w:hanging="426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Energy </w:t>
      </w:r>
      <w:r>
        <w:rPr>
          <w:spacing w:val="-3"/>
        </w:rPr>
        <w:t xml:space="preserve">Skills </w:t>
      </w:r>
      <w:r>
        <w:rPr>
          <w:spacing w:val="-4"/>
        </w:rPr>
        <w:t xml:space="preserve">Advisory Committee (ESAC) </w:t>
      </w:r>
      <w:r w:rsidR="00F77E72">
        <w:rPr>
          <w:spacing w:val="-4"/>
        </w:rPr>
        <w:t>s</w:t>
      </w:r>
      <w:r>
        <w:rPr>
          <w:spacing w:val="-3"/>
        </w:rPr>
        <w:t>upport</w:t>
      </w:r>
      <w:r w:rsidR="00E97A4B">
        <w:rPr>
          <w:spacing w:val="-3"/>
        </w:rPr>
        <w:t>s</w:t>
      </w:r>
      <w:r>
        <w:rPr>
          <w:spacing w:val="-3"/>
        </w:rPr>
        <w:t xml:space="preserve"> the </w:t>
      </w:r>
      <w:r>
        <w:rPr>
          <w:spacing w:val="-4"/>
        </w:rPr>
        <w:t xml:space="preserve">development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4"/>
        </w:rPr>
        <w:t>policy framework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 w:rsidR="00E178C4">
        <w:rPr>
          <w:spacing w:val="-4"/>
        </w:rPr>
        <w:t>encourage</w:t>
      </w:r>
      <w:r w:rsidR="00E178C4">
        <w:rPr>
          <w:spacing w:val="-15"/>
        </w:rPr>
        <w:t xml:space="preserve"> </w:t>
      </w:r>
      <w:r>
        <w:rPr>
          <w:spacing w:val="-4"/>
        </w:rPr>
        <w:t>Queensland</w:t>
      </w:r>
      <w:r>
        <w:rPr>
          <w:spacing w:val="-11"/>
        </w:rPr>
        <w:t xml:space="preserve"> </w:t>
      </w:r>
      <w:r>
        <w:rPr>
          <w:spacing w:val="-4"/>
        </w:rPr>
        <w:t>workers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4"/>
        </w:rPr>
        <w:t>communities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4"/>
        </w:rPr>
        <w:t>maximise</w:t>
      </w:r>
      <w:r>
        <w:rPr>
          <w:spacing w:val="-12"/>
        </w:rPr>
        <w:t xml:space="preserve"> </w:t>
      </w:r>
      <w:r>
        <w:rPr>
          <w:spacing w:val="-4"/>
        </w:rPr>
        <w:t>future</w:t>
      </w:r>
      <w:r>
        <w:rPr>
          <w:spacing w:val="40"/>
        </w:rPr>
        <w:t xml:space="preserve"> </w:t>
      </w:r>
      <w:r>
        <w:rPr>
          <w:spacing w:val="-4"/>
        </w:rPr>
        <w:t xml:space="preserve">employment </w:t>
      </w:r>
      <w:r>
        <w:t xml:space="preserve">and </w:t>
      </w:r>
      <w:r>
        <w:rPr>
          <w:spacing w:val="-3"/>
        </w:rPr>
        <w:t xml:space="preserve">skills </w:t>
      </w:r>
      <w:r>
        <w:rPr>
          <w:spacing w:val="-4"/>
        </w:rPr>
        <w:t xml:space="preserve">opportunities </w:t>
      </w:r>
      <w:r>
        <w:t xml:space="preserve">in the </w:t>
      </w:r>
      <w:r>
        <w:rPr>
          <w:spacing w:val="-4"/>
        </w:rPr>
        <w:t xml:space="preserve">Queensland </w:t>
      </w:r>
      <w:r>
        <w:rPr>
          <w:spacing w:val="-3"/>
        </w:rPr>
        <w:t>energy</w:t>
      </w:r>
      <w:r>
        <w:rPr>
          <w:spacing w:val="-41"/>
        </w:rPr>
        <w:t xml:space="preserve"> </w:t>
      </w:r>
      <w:r>
        <w:rPr>
          <w:spacing w:val="-4"/>
        </w:rPr>
        <w:t>sector.</w:t>
      </w:r>
    </w:p>
    <w:p w14:paraId="642F8C52" w14:textId="362C2BDA" w:rsidR="001425D9" w:rsidRDefault="00DA0943" w:rsidP="0011542A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0" w:lineRule="auto"/>
        <w:ind w:left="426" w:right="3" w:hanging="426"/>
        <w:jc w:val="both"/>
      </w:pPr>
      <w:r>
        <w:t xml:space="preserve">ESAC </w:t>
      </w:r>
      <w:r w:rsidR="00F77E72">
        <w:t>will</w:t>
      </w:r>
      <w:r>
        <w:t xml:space="preserve"> be responsible for providing knowledge, options and recommendations for consideration to the Minister for Employment and Small Business and Minister for Training and Skills Development on:</w:t>
      </w:r>
    </w:p>
    <w:p w14:paraId="1CDD4E05" w14:textId="1012A110" w:rsidR="00DA0943" w:rsidRDefault="00A77158" w:rsidP="00A046F1">
      <w:pPr>
        <w:pStyle w:val="ListParagraph"/>
        <w:numPr>
          <w:ilvl w:val="1"/>
          <w:numId w:val="1"/>
        </w:numPr>
        <w:tabs>
          <w:tab w:val="left" w:pos="426"/>
        </w:tabs>
        <w:spacing w:before="120" w:line="240" w:lineRule="auto"/>
        <w:ind w:right="3"/>
        <w:jc w:val="both"/>
      </w:pPr>
      <w:r>
        <w:t>s</w:t>
      </w:r>
      <w:r w:rsidR="009A795A">
        <w:t>killing the State’s energy sector workforce to optimi</w:t>
      </w:r>
      <w:r>
        <w:t>s</w:t>
      </w:r>
      <w:r w:rsidR="009A795A">
        <w:t>e new economic opportunities for Queensland;</w:t>
      </w:r>
    </w:p>
    <w:p w14:paraId="6F260D1B" w14:textId="0DDF2C2E" w:rsidR="009A795A" w:rsidRDefault="00A77158" w:rsidP="00A046F1">
      <w:pPr>
        <w:pStyle w:val="ListParagraph"/>
        <w:numPr>
          <w:ilvl w:val="1"/>
          <w:numId w:val="1"/>
        </w:numPr>
        <w:tabs>
          <w:tab w:val="left" w:pos="426"/>
        </w:tabs>
        <w:spacing w:before="120" w:line="240" w:lineRule="auto"/>
        <w:ind w:right="3"/>
        <w:jc w:val="both"/>
      </w:pPr>
      <w:r>
        <w:t>t</w:t>
      </w:r>
      <w:r w:rsidR="009A795A">
        <w:t xml:space="preserve">he scale and types of impacts reaching </w:t>
      </w:r>
      <w:r w:rsidR="00500DE8">
        <w:t>50 per cent renewable energy by 2030 will have on directly-affected workers and communities;</w:t>
      </w:r>
    </w:p>
    <w:p w14:paraId="081107FC" w14:textId="57CDAC35" w:rsidR="00500DE8" w:rsidRDefault="00A77158" w:rsidP="00A046F1">
      <w:pPr>
        <w:pStyle w:val="ListParagraph"/>
        <w:numPr>
          <w:ilvl w:val="1"/>
          <w:numId w:val="1"/>
        </w:numPr>
        <w:tabs>
          <w:tab w:val="left" w:pos="426"/>
        </w:tabs>
        <w:spacing w:before="120" w:line="240" w:lineRule="auto"/>
        <w:ind w:right="3"/>
        <w:jc w:val="both"/>
      </w:pPr>
      <w:r>
        <w:t>l</w:t>
      </w:r>
      <w:r w:rsidR="00500DE8">
        <w:t>everaging existing allocations of funding for infrastructure, innovation, economic development</w:t>
      </w:r>
      <w:r w:rsidR="0010708B">
        <w:t xml:space="preserve">, employment and training supports, and any other programs and policies that could assist directly </w:t>
      </w:r>
      <w:r w:rsidR="009C7854">
        <w:t>affected workers and communities and other Queenslanders to transition and make the most of opportunities;</w:t>
      </w:r>
    </w:p>
    <w:p w14:paraId="4B2DB065" w14:textId="44C8469F" w:rsidR="009C7854" w:rsidRDefault="00A77158" w:rsidP="005A1250">
      <w:pPr>
        <w:pStyle w:val="ListParagraph"/>
        <w:numPr>
          <w:ilvl w:val="1"/>
          <w:numId w:val="1"/>
        </w:numPr>
        <w:tabs>
          <w:tab w:val="left" w:pos="426"/>
        </w:tabs>
        <w:spacing w:before="120" w:line="240" w:lineRule="auto"/>
        <w:ind w:right="3"/>
      </w:pPr>
      <w:r>
        <w:t>i</w:t>
      </w:r>
      <w:r w:rsidR="009C7854">
        <w:t xml:space="preserve">dentifying </w:t>
      </w:r>
      <w:r w:rsidR="00A3438E">
        <w:t>gaps in policy and programs to support the transition and proposing solutions as part of a policy framework; and</w:t>
      </w:r>
    </w:p>
    <w:p w14:paraId="348876E7" w14:textId="422996A3" w:rsidR="00A3438E" w:rsidRDefault="00A77158" w:rsidP="005A1250">
      <w:pPr>
        <w:pStyle w:val="ListParagraph"/>
        <w:numPr>
          <w:ilvl w:val="1"/>
          <w:numId w:val="1"/>
        </w:numPr>
        <w:tabs>
          <w:tab w:val="left" w:pos="426"/>
        </w:tabs>
        <w:spacing w:before="120" w:line="240" w:lineRule="auto"/>
        <w:ind w:right="3"/>
        <w:jc w:val="both"/>
      </w:pPr>
      <w:r>
        <w:t>h</w:t>
      </w:r>
      <w:r w:rsidR="00A3438E">
        <w:t>ow to ensure new jobs in the energy sector and associated industries are decent, secure and deliver maximum potential to local communities and the state economy</w:t>
      </w:r>
      <w:r>
        <w:t>.</w:t>
      </w:r>
    </w:p>
    <w:p w14:paraId="48D0F415" w14:textId="5F3A390C" w:rsidR="00D138D6" w:rsidRDefault="00466FEF" w:rsidP="0011542A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0" w:lineRule="auto"/>
        <w:ind w:left="426" w:right="3" w:hanging="426"/>
        <w:jc w:val="both"/>
      </w:pPr>
      <w:r>
        <w:rPr>
          <w:spacing w:val="-4"/>
          <w:u w:val="single"/>
        </w:rPr>
        <w:t xml:space="preserve">Cabinet </w:t>
      </w:r>
      <w:r>
        <w:rPr>
          <w:spacing w:val="-3"/>
          <w:u w:val="single"/>
        </w:rPr>
        <w:t>noted</w:t>
      </w:r>
      <w:r>
        <w:rPr>
          <w:spacing w:val="-3"/>
        </w:rPr>
        <w:t xml:space="preserve"> the </w:t>
      </w:r>
      <w:r>
        <w:rPr>
          <w:spacing w:val="-4"/>
        </w:rPr>
        <w:t xml:space="preserve">intention </w:t>
      </w:r>
      <w:r>
        <w:rPr>
          <w:spacing w:val="-3"/>
        </w:rPr>
        <w:t xml:space="preserve">of the </w:t>
      </w:r>
      <w:r>
        <w:rPr>
          <w:spacing w:val="-4"/>
        </w:rPr>
        <w:t xml:space="preserve">Minister </w:t>
      </w:r>
      <w:r>
        <w:t xml:space="preserve">for </w:t>
      </w:r>
      <w:r>
        <w:rPr>
          <w:spacing w:val="-4"/>
        </w:rPr>
        <w:t xml:space="preserve">Employment </w:t>
      </w:r>
      <w:r>
        <w:t xml:space="preserve">and </w:t>
      </w:r>
      <w:r>
        <w:rPr>
          <w:spacing w:val="-3"/>
        </w:rPr>
        <w:t xml:space="preserve">Small </w:t>
      </w:r>
      <w:r>
        <w:rPr>
          <w:spacing w:val="-4"/>
        </w:rPr>
        <w:t xml:space="preserve">Business </w:t>
      </w:r>
      <w:r>
        <w:t xml:space="preserve">and </w:t>
      </w:r>
      <w:r>
        <w:rPr>
          <w:spacing w:val="-4"/>
        </w:rPr>
        <w:t xml:space="preserve">Minister </w:t>
      </w:r>
      <w:r>
        <w:rPr>
          <w:spacing w:val="-3"/>
        </w:rPr>
        <w:t xml:space="preserve">for </w:t>
      </w:r>
      <w:r>
        <w:rPr>
          <w:spacing w:val="-4"/>
        </w:rPr>
        <w:t xml:space="preserve">Training </w:t>
      </w:r>
      <w:r>
        <w:rPr>
          <w:spacing w:val="-3"/>
        </w:rPr>
        <w:t xml:space="preserve">and Skills </w:t>
      </w:r>
      <w:r>
        <w:rPr>
          <w:spacing w:val="-4"/>
        </w:rPr>
        <w:t xml:space="preserve">Development </w:t>
      </w:r>
      <w:r>
        <w:t xml:space="preserve">to </w:t>
      </w:r>
      <w:r>
        <w:rPr>
          <w:spacing w:val="-4"/>
        </w:rPr>
        <w:t xml:space="preserve">appoint </w:t>
      </w:r>
      <w:r>
        <w:rPr>
          <w:spacing w:val="-3"/>
        </w:rPr>
        <w:t>the E</w:t>
      </w:r>
      <w:r w:rsidR="00926B80">
        <w:rPr>
          <w:spacing w:val="-3"/>
        </w:rPr>
        <w:t xml:space="preserve">nergy </w:t>
      </w:r>
      <w:r>
        <w:rPr>
          <w:spacing w:val="-3"/>
        </w:rPr>
        <w:t>S</w:t>
      </w:r>
      <w:r w:rsidR="00926B80">
        <w:rPr>
          <w:spacing w:val="-3"/>
        </w:rPr>
        <w:t xml:space="preserve">kills </w:t>
      </w:r>
      <w:r>
        <w:rPr>
          <w:spacing w:val="-3"/>
        </w:rPr>
        <w:t>A</w:t>
      </w:r>
      <w:r w:rsidR="00926B80">
        <w:rPr>
          <w:spacing w:val="-3"/>
        </w:rPr>
        <w:t xml:space="preserve">dvisory </w:t>
      </w:r>
      <w:r>
        <w:rPr>
          <w:spacing w:val="-3"/>
        </w:rPr>
        <w:t>C</w:t>
      </w:r>
      <w:r w:rsidR="00926B80">
        <w:rPr>
          <w:spacing w:val="-3"/>
        </w:rPr>
        <w:t>ommittee</w:t>
      </w:r>
      <w:r>
        <w:rPr>
          <w:spacing w:val="-3"/>
        </w:rPr>
        <w:t xml:space="preserve"> members for </w:t>
      </w:r>
      <w:r>
        <w:t xml:space="preserve">a </w:t>
      </w:r>
      <w:r>
        <w:rPr>
          <w:spacing w:val="-4"/>
        </w:rPr>
        <w:t xml:space="preserve">term </w:t>
      </w:r>
      <w:r>
        <w:rPr>
          <w:spacing w:val="-3"/>
        </w:rPr>
        <w:t xml:space="preserve">of one year from the date </w:t>
      </w:r>
      <w:r>
        <w:t xml:space="preserve">the </w:t>
      </w:r>
      <w:r>
        <w:rPr>
          <w:spacing w:val="-4"/>
        </w:rPr>
        <w:t xml:space="preserve">members </w:t>
      </w:r>
      <w:r>
        <w:rPr>
          <w:spacing w:val="-3"/>
        </w:rPr>
        <w:t xml:space="preserve">are </w:t>
      </w:r>
      <w:r>
        <w:rPr>
          <w:spacing w:val="-4"/>
        </w:rPr>
        <w:t xml:space="preserve">notified </w:t>
      </w:r>
      <w:r>
        <w:rPr>
          <w:spacing w:val="-3"/>
        </w:rPr>
        <w:t xml:space="preserve">of </w:t>
      </w:r>
      <w:r>
        <w:rPr>
          <w:spacing w:val="-4"/>
        </w:rPr>
        <w:t xml:space="preserve">their appointment </w:t>
      </w:r>
      <w:r>
        <w:t xml:space="preserve">by </w:t>
      </w:r>
      <w:r>
        <w:rPr>
          <w:spacing w:val="-3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Minister:</w:t>
      </w:r>
    </w:p>
    <w:p w14:paraId="48D0F419" w14:textId="4841970A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 w:line="269" w:lineRule="exact"/>
        <w:ind w:left="993" w:right="3" w:hanging="567"/>
      </w:pPr>
      <w:r>
        <w:rPr>
          <w:spacing w:val="-4"/>
        </w:rPr>
        <w:t xml:space="preserve">Director-General, 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Employment, Small Business </w:t>
      </w:r>
      <w:r>
        <w:t>and</w:t>
      </w:r>
      <w:r>
        <w:rPr>
          <w:spacing w:val="-6"/>
        </w:rPr>
        <w:t xml:space="preserve"> </w:t>
      </w:r>
      <w:r>
        <w:rPr>
          <w:spacing w:val="-4"/>
        </w:rPr>
        <w:t>Training</w:t>
      </w:r>
      <w:r w:rsidR="00885CB3">
        <w:rPr>
          <w:spacing w:val="-4"/>
        </w:rPr>
        <w:t xml:space="preserve"> (Chair)</w:t>
      </w:r>
    </w:p>
    <w:p w14:paraId="48D0F41A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93" w:right="3" w:hanging="567"/>
      </w:pPr>
      <w:r>
        <w:t xml:space="preserve">Cr </w:t>
      </w:r>
      <w:r>
        <w:rPr>
          <w:spacing w:val="-3"/>
        </w:rPr>
        <w:t>Matt</w:t>
      </w:r>
      <w:r>
        <w:rPr>
          <w:spacing w:val="-11"/>
        </w:rPr>
        <w:t xml:space="preserve"> </w:t>
      </w:r>
      <w:r>
        <w:rPr>
          <w:spacing w:val="-4"/>
        </w:rPr>
        <w:t>Burnett</w:t>
      </w:r>
    </w:p>
    <w:p w14:paraId="48D0F41B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93" w:right="3" w:hanging="567"/>
      </w:pPr>
      <w:r>
        <w:rPr>
          <w:spacing w:val="-4"/>
        </w:rPr>
        <w:t>Mr Michael</w:t>
      </w:r>
      <w:r>
        <w:rPr>
          <w:spacing w:val="11"/>
        </w:rPr>
        <w:t xml:space="preserve"> </w:t>
      </w:r>
      <w:r>
        <w:rPr>
          <w:spacing w:val="-4"/>
        </w:rPr>
        <w:t>Clifford</w:t>
      </w:r>
    </w:p>
    <w:p w14:paraId="48D0F41C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93" w:right="3" w:hanging="567"/>
      </w:pPr>
      <w:r>
        <w:rPr>
          <w:spacing w:val="-4"/>
        </w:rPr>
        <w:t>Mr Stephen</w:t>
      </w:r>
      <w:r>
        <w:rPr>
          <w:spacing w:val="11"/>
        </w:rPr>
        <w:t xml:space="preserve"> </w:t>
      </w:r>
      <w:r>
        <w:rPr>
          <w:spacing w:val="-4"/>
        </w:rPr>
        <w:t>Smyth</w:t>
      </w:r>
    </w:p>
    <w:p w14:paraId="48D0F41D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93" w:right="3" w:hanging="567"/>
      </w:pPr>
      <w:r>
        <w:rPr>
          <w:spacing w:val="-4"/>
        </w:rPr>
        <w:t>Mr Peter</w:t>
      </w:r>
      <w:r>
        <w:rPr>
          <w:spacing w:val="-5"/>
        </w:rPr>
        <w:t xml:space="preserve"> </w:t>
      </w:r>
      <w:r>
        <w:rPr>
          <w:spacing w:val="-4"/>
        </w:rPr>
        <w:t>Ong</w:t>
      </w:r>
    </w:p>
    <w:p w14:paraId="48D0F41E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93" w:right="3" w:hanging="567"/>
      </w:pPr>
      <w:r>
        <w:rPr>
          <w:spacing w:val="-4"/>
        </w:rPr>
        <w:t>Ms Jennifer</w:t>
      </w:r>
      <w:r>
        <w:rPr>
          <w:spacing w:val="-8"/>
        </w:rPr>
        <w:t xml:space="preserve"> </w:t>
      </w:r>
      <w:r>
        <w:rPr>
          <w:spacing w:val="-3"/>
        </w:rPr>
        <w:t>Thomas</w:t>
      </w:r>
    </w:p>
    <w:p w14:paraId="48D0F41F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93" w:right="3" w:hanging="567"/>
      </w:pPr>
      <w:r>
        <w:rPr>
          <w:spacing w:val="-4"/>
        </w:rPr>
        <w:t xml:space="preserve">Ms </w:t>
      </w:r>
      <w:r>
        <w:rPr>
          <w:spacing w:val="-3"/>
        </w:rPr>
        <w:t>Sophie</w:t>
      </w:r>
      <w:r>
        <w:rPr>
          <w:spacing w:val="-7"/>
        </w:rPr>
        <w:t xml:space="preserve"> </w:t>
      </w:r>
      <w:r>
        <w:rPr>
          <w:spacing w:val="-4"/>
        </w:rPr>
        <w:t>Naughton</w:t>
      </w:r>
    </w:p>
    <w:p w14:paraId="48D0F420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 w:line="269" w:lineRule="exact"/>
        <w:ind w:left="993" w:right="3" w:hanging="567"/>
      </w:pPr>
      <w:r>
        <w:rPr>
          <w:spacing w:val="-4"/>
        </w:rPr>
        <w:t xml:space="preserve">Ms </w:t>
      </w:r>
      <w:r>
        <w:rPr>
          <w:spacing w:val="-3"/>
        </w:rPr>
        <w:t>Kim</w:t>
      </w:r>
      <w:r>
        <w:rPr>
          <w:spacing w:val="-6"/>
        </w:rPr>
        <w:t xml:space="preserve"> </w:t>
      </w:r>
      <w:r>
        <w:rPr>
          <w:spacing w:val="-4"/>
        </w:rPr>
        <w:t>Best</w:t>
      </w:r>
    </w:p>
    <w:p w14:paraId="48D0F421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93" w:right="3" w:hanging="567"/>
      </w:pPr>
      <w:r>
        <w:rPr>
          <w:spacing w:val="-4"/>
        </w:rPr>
        <w:t xml:space="preserve">Ms </w:t>
      </w:r>
      <w:r>
        <w:rPr>
          <w:spacing w:val="-3"/>
        </w:rPr>
        <w:t>Tanya</w:t>
      </w:r>
      <w:r>
        <w:rPr>
          <w:spacing w:val="-4"/>
        </w:rPr>
        <w:t xml:space="preserve"> Mangold</w:t>
      </w:r>
    </w:p>
    <w:p w14:paraId="48D0F422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/>
        <w:ind w:left="993" w:right="3" w:hanging="567"/>
      </w:pPr>
      <w:r>
        <w:rPr>
          <w:spacing w:val="-4"/>
        </w:rPr>
        <w:t xml:space="preserve">Mr </w:t>
      </w:r>
      <w:r>
        <w:rPr>
          <w:spacing w:val="-3"/>
        </w:rPr>
        <w:t>John</w:t>
      </w:r>
      <w:r>
        <w:rPr>
          <w:spacing w:val="-6"/>
        </w:rPr>
        <w:t xml:space="preserve"> </w:t>
      </w:r>
      <w:r>
        <w:rPr>
          <w:spacing w:val="-3"/>
        </w:rPr>
        <w:t>Grimes</w:t>
      </w:r>
    </w:p>
    <w:p w14:paraId="48D0F423" w14:textId="77777777" w:rsidR="00D138D6" w:rsidRDefault="00466FEF" w:rsidP="00A046F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 w:line="269" w:lineRule="exact"/>
        <w:ind w:left="993" w:right="3" w:hanging="567"/>
      </w:pPr>
      <w:r>
        <w:t xml:space="preserve">Dr </w:t>
      </w:r>
      <w:r>
        <w:rPr>
          <w:spacing w:val="-3"/>
        </w:rPr>
        <w:t>Karen</w:t>
      </w:r>
      <w:r>
        <w:rPr>
          <w:spacing w:val="-13"/>
        </w:rPr>
        <w:t xml:space="preserve"> </w:t>
      </w:r>
      <w:r>
        <w:rPr>
          <w:spacing w:val="-4"/>
        </w:rPr>
        <w:t>Hussey</w:t>
      </w:r>
    </w:p>
    <w:p w14:paraId="48D0F425" w14:textId="77777777" w:rsidR="00D138D6" w:rsidRDefault="00466FEF" w:rsidP="002D69E2">
      <w:pPr>
        <w:pStyle w:val="ListParagraph"/>
        <w:numPr>
          <w:ilvl w:val="0"/>
          <w:numId w:val="1"/>
        </w:numPr>
        <w:tabs>
          <w:tab w:val="left" w:pos="426"/>
        </w:tabs>
        <w:spacing w:before="360" w:line="240" w:lineRule="auto"/>
        <w:ind w:left="426" w:right="3" w:hanging="426"/>
        <w:rPr>
          <w:i/>
        </w:rPr>
      </w:pPr>
      <w:r>
        <w:rPr>
          <w:i/>
          <w:spacing w:val="-4"/>
          <w:u w:val="single"/>
        </w:rPr>
        <w:t>Attachments</w:t>
      </w:r>
    </w:p>
    <w:p w14:paraId="48D0F427" w14:textId="518A18C7" w:rsidR="00D138D6" w:rsidRDefault="00466FEF" w:rsidP="002D69E2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0" w:line="269" w:lineRule="exact"/>
        <w:ind w:left="993" w:right="3" w:hanging="567"/>
      </w:pPr>
      <w:r w:rsidRPr="005C0CBE">
        <w:t>Nil</w:t>
      </w:r>
      <w:r w:rsidR="00A046F1">
        <w:t>.</w:t>
      </w:r>
    </w:p>
    <w:sectPr w:rsidR="00D138D6" w:rsidSect="00E97A4B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49B4" w14:textId="77777777" w:rsidR="00677CB3" w:rsidRDefault="00677CB3" w:rsidP="00C104E8">
      <w:r>
        <w:separator/>
      </w:r>
    </w:p>
  </w:endnote>
  <w:endnote w:type="continuationSeparator" w:id="0">
    <w:p w14:paraId="3598A781" w14:textId="77777777" w:rsidR="00677CB3" w:rsidRDefault="00677CB3" w:rsidP="00C1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F2C1" w14:textId="77777777" w:rsidR="00677CB3" w:rsidRDefault="00677CB3" w:rsidP="00C104E8">
      <w:r>
        <w:separator/>
      </w:r>
    </w:p>
  </w:footnote>
  <w:footnote w:type="continuationSeparator" w:id="0">
    <w:p w14:paraId="5347CAC8" w14:textId="77777777" w:rsidR="00677CB3" w:rsidRDefault="00677CB3" w:rsidP="00C1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8328" w14:textId="77777777" w:rsidR="00C104E8" w:rsidRPr="00937A4A" w:rsidRDefault="00C104E8" w:rsidP="005C0CB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7006D59" w14:textId="77777777" w:rsidR="00C104E8" w:rsidRPr="00937A4A" w:rsidRDefault="00C104E8" w:rsidP="005C0CB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66FC4AD" w14:textId="330A8D91" w:rsidR="00C104E8" w:rsidRPr="00937A4A" w:rsidRDefault="00C104E8" w:rsidP="005C0CB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July 2019</w:t>
    </w:r>
  </w:p>
  <w:p w14:paraId="48D8F66A" w14:textId="63E87488" w:rsidR="00C104E8" w:rsidRDefault="00C104E8" w:rsidP="00C104E8">
    <w:pPr>
      <w:pStyle w:val="Header"/>
      <w:spacing w:before="120"/>
      <w:rPr>
        <w:b/>
        <w:u w:val="single"/>
      </w:rPr>
    </w:pPr>
    <w:r>
      <w:rPr>
        <w:b/>
        <w:u w:val="single"/>
      </w:rPr>
      <w:t>Appointment of members to the Energy Skills Advisory Committee</w:t>
    </w:r>
  </w:p>
  <w:p w14:paraId="46722AFB" w14:textId="3AAA7CE7" w:rsidR="00C104E8" w:rsidRDefault="00C104E8" w:rsidP="00C104E8">
    <w:pPr>
      <w:pStyle w:val="Header"/>
      <w:spacing w:before="120"/>
      <w:rPr>
        <w:b/>
        <w:u w:val="single"/>
      </w:rPr>
    </w:pPr>
    <w:r>
      <w:rPr>
        <w:b/>
        <w:u w:val="single"/>
      </w:rPr>
      <w:t>Minister for Employment and Small Business and Minister for Training and Skills Development</w:t>
    </w:r>
  </w:p>
  <w:p w14:paraId="24E7BD4C" w14:textId="77777777" w:rsidR="00C104E8" w:rsidRDefault="00C104E8" w:rsidP="00C104E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18D"/>
    <w:multiLevelType w:val="hybridMultilevel"/>
    <w:tmpl w:val="A4920284"/>
    <w:lvl w:ilvl="0" w:tplc="67A4768C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i w:val="0"/>
        <w:spacing w:val="-3"/>
        <w:w w:val="100"/>
      </w:rPr>
    </w:lvl>
    <w:lvl w:ilvl="1" w:tplc="3A5665F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64234D6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66A8B6B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6D8E51B6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4058FD00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AD984060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2970F08C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E174D580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8D6"/>
    <w:rsid w:val="0010708B"/>
    <w:rsid w:val="0011542A"/>
    <w:rsid w:val="001425D9"/>
    <w:rsid w:val="002D69E2"/>
    <w:rsid w:val="00312E18"/>
    <w:rsid w:val="00466FEF"/>
    <w:rsid w:val="00500DE8"/>
    <w:rsid w:val="00533948"/>
    <w:rsid w:val="005A1250"/>
    <w:rsid w:val="005C0CBE"/>
    <w:rsid w:val="00677CB3"/>
    <w:rsid w:val="006C5E00"/>
    <w:rsid w:val="00781564"/>
    <w:rsid w:val="00853667"/>
    <w:rsid w:val="00885CB3"/>
    <w:rsid w:val="008B556D"/>
    <w:rsid w:val="00926B80"/>
    <w:rsid w:val="009A795A"/>
    <w:rsid w:val="009C062E"/>
    <w:rsid w:val="009C7854"/>
    <w:rsid w:val="00A046F1"/>
    <w:rsid w:val="00A3438E"/>
    <w:rsid w:val="00A77158"/>
    <w:rsid w:val="00AE525D"/>
    <w:rsid w:val="00BC197F"/>
    <w:rsid w:val="00C104E8"/>
    <w:rsid w:val="00C37C10"/>
    <w:rsid w:val="00CA708A"/>
    <w:rsid w:val="00D138D6"/>
    <w:rsid w:val="00DA0943"/>
    <w:rsid w:val="00E178C4"/>
    <w:rsid w:val="00E97A4B"/>
    <w:rsid w:val="00EC7130"/>
    <w:rsid w:val="00F57145"/>
    <w:rsid w:val="00F77E72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F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04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4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04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4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D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72C35-98EF-42E2-ACD3-C7A6FA188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6CA5E-0B79-4539-8972-464707031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2D6A4-46B3-4B7D-BA0F-5A42E2246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269</Words>
  <Characters>1552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Base>https://www.cabinet.qld.gov.au/documents/2019/Jul/ApptESAC/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32</cp:revision>
  <dcterms:created xsi:type="dcterms:W3CDTF">2019-07-11T03:21:00Z</dcterms:created>
  <dcterms:modified xsi:type="dcterms:W3CDTF">2020-01-29T01:19:00Z</dcterms:modified>
  <cp:category>Significant_Appointments,Energy,Skills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2019-07-11T00:00:00Z</vt:filetime>
  </property>
  <property fmtid="{D5CDD505-2E9C-101B-9397-08002B2CF9AE}" pid="5" name="ContentTypeId">
    <vt:lpwstr>0x010100DDE14CFDD070B24F85F5DE43654FF01E</vt:lpwstr>
  </property>
</Properties>
</file>